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C1B" w:rsidRDefault="009E0C1B" w:rsidP="003F5B2D">
      <w:pPr>
        <w:pStyle w:val="Corpsdetexte"/>
        <w:rPr>
          <w:rFonts w:ascii="Times New Roman"/>
          <w:sz w:val="20"/>
        </w:rPr>
      </w:pPr>
    </w:p>
    <w:p w:rsidR="009E0C1B" w:rsidRDefault="009E0C1B" w:rsidP="003F5B2D">
      <w:pPr>
        <w:pStyle w:val="Corpsdetexte"/>
        <w:rPr>
          <w:rFonts w:ascii="Times New Roman"/>
          <w:sz w:val="20"/>
        </w:rPr>
      </w:pPr>
    </w:p>
    <w:p w:rsidR="009E0C1B" w:rsidRDefault="009E0C1B" w:rsidP="003F5B2D">
      <w:pPr>
        <w:pStyle w:val="Corpsdetexte"/>
        <w:rPr>
          <w:rFonts w:ascii="Times New Roman"/>
          <w:sz w:val="20"/>
        </w:rPr>
      </w:pPr>
    </w:p>
    <w:p w:rsidR="009E0C1B" w:rsidRDefault="009E0C1B" w:rsidP="003F5B2D">
      <w:pPr>
        <w:pStyle w:val="Corpsdetexte"/>
        <w:rPr>
          <w:rFonts w:ascii="Times New Roman"/>
          <w:sz w:val="20"/>
        </w:rPr>
      </w:pPr>
    </w:p>
    <w:p w:rsidR="009E0C1B" w:rsidRDefault="009E0C1B" w:rsidP="003F5B2D">
      <w:pPr>
        <w:pStyle w:val="Corpsdetexte"/>
        <w:rPr>
          <w:rFonts w:ascii="Times New Roman"/>
          <w:sz w:val="20"/>
        </w:rPr>
      </w:pPr>
    </w:p>
    <w:p w:rsidR="009E0C1B" w:rsidRDefault="009E0C1B" w:rsidP="003F5B2D">
      <w:pPr>
        <w:pStyle w:val="Corpsdetexte"/>
        <w:rPr>
          <w:rFonts w:ascii="Times New Roman"/>
          <w:sz w:val="20"/>
        </w:rPr>
      </w:pPr>
    </w:p>
    <w:p w:rsidR="009E0C1B" w:rsidRDefault="009E0C1B" w:rsidP="003F5B2D">
      <w:pPr>
        <w:pStyle w:val="Corpsdetexte"/>
        <w:rPr>
          <w:rFonts w:ascii="Times New Roman"/>
          <w:sz w:val="20"/>
        </w:rPr>
      </w:pPr>
    </w:p>
    <w:p w:rsidR="009E0C1B" w:rsidRDefault="009E0C1B" w:rsidP="003F5B2D">
      <w:pPr>
        <w:pStyle w:val="Corpsdetexte"/>
        <w:rPr>
          <w:rFonts w:ascii="Times New Roman"/>
          <w:sz w:val="20"/>
        </w:rPr>
      </w:pPr>
    </w:p>
    <w:p w:rsidR="009E0C1B" w:rsidRDefault="009E0C1B" w:rsidP="003F5B2D">
      <w:pPr>
        <w:pStyle w:val="Corpsdetexte"/>
        <w:rPr>
          <w:rFonts w:ascii="Times New Roman"/>
          <w:sz w:val="20"/>
        </w:rPr>
      </w:pPr>
    </w:p>
    <w:p w:rsidR="009E0C1B" w:rsidRPr="00DC1B49" w:rsidRDefault="009E0C1B" w:rsidP="003F5B2D">
      <w:pPr>
        <w:pStyle w:val="Corpsdetexte"/>
        <w:rPr>
          <w:rFonts w:ascii="Times New Roman"/>
          <w:sz w:val="28"/>
          <w:szCs w:val="28"/>
        </w:rPr>
      </w:pPr>
    </w:p>
    <w:p w:rsidR="009E0C1B" w:rsidRPr="006B1B3E" w:rsidRDefault="009E0C1B" w:rsidP="003F5B2D">
      <w:pPr>
        <w:pStyle w:val="Corpsdetexte"/>
        <w:rPr>
          <w:rFonts w:ascii="Times New Roman"/>
          <w:sz w:val="4"/>
          <w:szCs w:val="4"/>
        </w:rPr>
      </w:pPr>
    </w:p>
    <w:p w:rsidR="009E0C1B" w:rsidRDefault="009E0C1B" w:rsidP="003F5B2D">
      <w:pPr>
        <w:pStyle w:val="Corpsdetexte"/>
        <w:spacing w:before="4"/>
        <w:rPr>
          <w:rFonts w:ascii="Times New Roman"/>
        </w:rPr>
      </w:pPr>
    </w:p>
    <w:p w:rsidR="009E0C1B" w:rsidRPr="006B1B3E" w:rsidRDefault="009E0C1B" w:rsidP="003F5B2D">
      <w:pPr>
        <w:rPr>
          <w:rFonts w:ascii="Times New Roman"/>
          <w:sz w:val="16"/>
          <w:szCs w:val="16"/>
        </w:rPr>
        <w:sectPr w:rsidR="009E0C1B" w:rsidRPr="006B1B3E">
          <w:type w:val="continuous"/>
          <w:pgSz w:w="11910" w:h="16840"/>
          <w:pgMar w:top="520" w:right="0" w:bottom="280" w:left="0" w:header="720" w:footer="720" w:gutter="0"/>
          <w:cols w:space="720"/>
        </w:sectPr>
      </w:pPr>
    </w:p>
    <w:p w:rsidR="009E0C1B" w:rsidRDefault="00EA0159" w:rsidP="003F5B2D">
      <w:pPr>
        <w:pStyle w:val="Titre1"/>
        <w:spacing w:before="113"/>
        <w:jc w:val="both"/>
      </w:pPr>
      <w:r>
        <w:pict>
          <v:group id="_x0000_s1043" style="position:absolute;left:0;text-align:left;margin-left:0;margin-top:-149.6pt;width:596.3pt;height:135.75pt;z-index:15729664;mso-position-horizontal-relative:page" coordorigin=",-2992" coordsize="11926,2715">
            <v:shape id="_x0000_s1046" style="position:absolute;top:-2297;width:11906;height:1949" coordorigin=",-2297" coordsize="11906,1949" path="m11906,-2297l,-2193,,-349,11906,-453r,-1844xe" fillcolor="#a3bfca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top:-2992;width:8878;height:2557" filled="f" stroked="f">
              <v:textbox style="mso-next-textbox:#_x0000_s1045" inset="0,0,0,0">
                <w:txbxContent>
                  <w:p w:rsidR="009E0C1B" w:rsidRPr="008046C6" w:rsidRDefault="009A52EC">
                    <w:pPr>
                      <w:tabs>
                        <w:tab w:val="left" w:pos="787"/>
                        <w:tab w:val="left" w:pos="5725"/>
                      </w:tabs>
                      <w:spacing w:line="1036" w:lineRule="exact"/>
                      <w:rPr>
                        <w:sz w:val="96"/>
                        <w:szCs w:val="24"/>
                      </w:rPr>
                    </w:pPr>
                    <w:r w:rsidRPr="008046C6">
                      <w:rPr>
                        <w:color w:val="FFFFFF"/>
                        <w:sz w:val="96"/>
                        <w:szCs w:val="24"/>
                        <w:shd w:val="clear" w:color="auto" w:fill="003561"/>
                      </w:rPr>
                      <w:t xml:space="preserve"> </w:t>
                    </w:r>
                    <w:r w:rsidRPr="008046C6">
                      <w:rPr>
                        <w:color w:val="FFFFFF"/>
                        <w:sz w:val="72"/>
                        <w:szCs w:val="20"/>
                        <w:shd w:val="clear" w:color="auto" w:fill="003561"/>
                      </w:rPr>
                      <w:tab/>
                      <w:t>PACOTE DE FORMAÇÃO</w:t>
                    </w:r>
                    <w:r w:rsidRPr="008046C6">
                      <w:rPr>
                        <w:color w:val="FFFFFF"/>
                        <w:sz w:val="96"/>
                        <w:szCs w:val="24"/>
                        <w:shd w:val="clear" w:color="auto" w:fill="003561"/>
                      </w:rPr>
                      <w:tab/>
                    </w:r>
                  </w:p>
                  <w:p w:rsidR="009E0C1B" w:rsidRDefault="009A52EC">
                    <w:pPr>
                      <w:spacing w:before="34" w:line="213" w:lineRule="auto"/>
                      <w:ind w:left="839" w:right="4"/>
                      <w:rPr>
                        <w:sz w:val="68"/>
                      </w:rPr>
                    </w:pPr>
                    <w:r>
                      <w:rPr>
                        <w:color w:val="00365F"/>
                        <w:sz w:val="68"/>
                      </w:rPr>
                      <w:t>Desenvolvimento de capacidades de elaboração de leis e políticas sobre deslocações internas</w:t>
                    </w:r>
                  </w:p>
                </w:txbxContent>
              </v:textbox>
            </v:shape>
            <v:shape id="_x0000_s1044" type="#_x0000_t202" style="position:absolute;left:9070;top:-710;width:2855;height:433" filled="f" stroked="f">
              <v:textbox style="mso-next-textbox:#_x0000_s1044" inset="0,0,0,0">
                <w:txbxContent>
                  <w:p w:rsidR="009E0C1B" w:rsidRDefault="009A52EC">
                    <w:pPr>
                      <w:tabs>
                        <w:tab w:val="left" w:pos="2834"/>
                      </w:tabs>
                      <w:spacing w:line="433" w:lineRule="exact"/>
                      <w:rPr>
                        <w:sz w:val="36"/>
                      </w:rPr>
                    </w:pPr>
                    <w:r>
                      <w:rPr>
                        <w:color w:val="FFFFFF"/>
                        <w:sz w:val="36"/>
                        <w:shd w:val="clear" w:color="auto" w:fill="003561"/>
                      </w:rPr>
                      <w:t xml:space="preserve">   20 DE JANEIRO DE 2016</w:t>
                    </w:r>
                    <w:r>
                      <w:rPr>
                        <w:color w:val="FFFFFF"/>
                        <w:sz w:val="36"/>
                        <w:shd w:val="clear" w:color="auto" w:fill="003561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 w:rsidR="009A52EC">
        <w:t>Este pacote de formação foi desenvolvido pela equipa operacional do grupo de proteção global (</w:t>
      </w:r>
      <w:r w:rsidR="009A52EC">
        <w:rPr>
          <w:sz w:val="17"/>
        </w:rPr>
        <w:t>GPG</w:t>
      </w:r>
      <w:r w:rsidR="009A52EC">
        <w:t>) sobre lei e política para apoiar os que participam no desenvolvimento de instrumentos nacionais sobre as deslocações internas. Com base numa metodologia participativa, consiste numa jornada em sete etapas, da preparação à implementação, que coloca os contextos nacionais no cerne da discussão e adota uma abordagem à questão com base nos direitos humanos. O objetivo do workshop é criar um plano de ação sobre o desenvolvimento e a implementação de um instrumento nacional concebido pelos participantes durante a última sessão.</w:t>
      </w:r>
    </w:p>
    <w:p w:rsidR="009E0C1B" w:rsidRPr="006B1B3E" w:rsidRDefault="009E0C1B" w:rsidP="003F5B2D">
      <w:pPr>
        <w:pStyle w:val="Corpsdetexte"/>
        <w:rPr>
          <w:rFonts w:ascii="Arial"/>
          <w:sz w:val="12"/>
          <w:szCs w:val="2"/>
        </w:rPr>
      </w:pPr>
    </w:p>
    <w:p w:rsidR="009E0C1B" w:rsidRDefault="009A52EC" w:rsidP="003F5B2D">
      <w:pPr>
        <w:spacing w:before="1"/>
        <w:ind w:left="850"/>
        <w:rPr>
          <w:rFonts w:ascii="Arial"/>
        </w:rPr>
      </w:pPr>
      <w:r>
        <w:rPr>
          <w:rFonts w:ascii="Arial"/>
        </w:rPr>
        <w:t>Contexto</w:t>
      </w:r>
    </w:p>
    <w:p w:rsidR="006B1B3E" w:rsidRDefault="009A52EC" w:rsidP="006B1B3E">
      <w:pPr>
        <w:pStyle w:val="Corpsdetexte"/>
        <w:spacing w:before="14"/>
        <w:ind w:left="850"/>
        <w:jc w:val="both"/>
      </w:pPr>
      <w:r>
        <w:t>Os Princípios Orientadores relativos aos Deslocados Internos de 1998 são amplamente reconhecidos como o principal quadro internacional em matéria de apoio e proteção às PDI (pessoas deslocadas internamente). O Pacto sobre a Segurança, Estabilidade e Desenvolvimento de 2006 na Região dos Grandes Lagos em África (Pacto dos Grandes Lagos) e o seu protocolo sobre as PDI foram os primeiros instrumentos legalmente vinculativos na sua proteção e obrigam os estados-membros a nacionalizar os Princípios Orientadores. Outras organizações regionais, tais como o Conselho da Europa (CdE) e a Organização de Estados Americanos, também convocaram os seus estados-membros para desenvolver leis e políticas nacionais sobre as deslocações internas em conformidade com os Princípios Orientadores. A adoção da Convenção da União Africana sobre a Proteção e Assistência às Pessoas Deslocadas Internamente em África (Convenção de Kampala) em 2009 assinalou outro marco no desenvolvimento de padrões normativos para proteção das PDI. O número de países que está a desenvolver leis ou políticas nacionais em conformidade com estes instrumentos está a crescer. Fizeram-no por vários motivos, incluindo o reconhecimento de que abordar e resolver as deslocações internas é um processo moroso e complexo que requer uma base sólida, legal e política com</w:t>
      </w:r>
      <w:r w:rsidR="006B1B3E">
        <w:t xml:space="preserve"> </w:t>
      </w:r>
      <w:r w:rsidR="006B1B3E">
        <w:t>os compromissos necessários em termos de capacidade. Mais países</w:t>
      </w:r>
      <w:r w:rsidR="006B1B3E" w:rsidRPr="006B1B3E">
        <w:t xml:space="preserve"> </w:t>
      </w:r>
      <w:r w:rsidR="006B1B3E">
        <w:t>necessitam de incentivo e apoio para fazer o mesmo. A intrinsecamente soberana e faz parte da principal</w:t>
      </w:r>
    </w:p>
    <w:p w:rsidR="006B1B3E" w:rsidRDefault="009A52EC" w:rsidP="006B1B3E">
      <w:pPr>
        <w:pStyle w:val="Corpsdetexte"/>
        <w:spacing w:before="6"/>
        <w:ind w:left="412" w:right="847" w:firstLine="14"/>
        <w:jc w:val="both"/>
      </w:pPr>
      <w:r>
        <w:br w:type="column"/>
      </w:r>
      <w:r w:rsidR="006B1B3E">
        <w:t>responsabilidade de um estado para com a sua população deslocada, mas o processo requer muitas vezes apoio técnico ou de formação.</w:t>
      </w:r>
    </w:p>
    <w:p w:rsidR="009E0C1B" w:rsidRPr="006B1B3E" w:rsidRDefault="006B1B3E" w:rsidP="006B1B3E">
      <w:pPr>
        <w:pStyle w:val="Corpsdetexte"/>
        <w:spacing w:before="6"/>
        <w:ind w:left="412" w:right="847" w:firstLine="239"/>
        <w:jc w:val="both"/>
      </w:pPr>
      <w:r>
        <w:t>Desde 2008, a comunidade internacional desenvolveu três ferramentas aplicáveis. Um manual para legisladores e decisores políticos que abrange o conteúdo de um instrumento nacional sobre</w:t>
      </w:r>
      <w:r>
        <w:t xml:space="preserve"> </w:t>
      </w:r>
      <w:r w:rsidR="009A52EC">
        <w:t>as deslocações internas, um guia das várias etapas no desenvolvimento desse instrumento e um manual que aborda o papel dos deputados. O pacote de formação centra-se na utilização destas ferramentas em contextos nacionais, com vista ao desenvolvimento de capacidades de elaboração de leis, políticas e apoio a processos consultivos.</w:t>
      </w:r>
      <w:r w:rsidR="009A52EC" w:rsidRPr="006B1B3E">
        <w:t>1</w:t>
      </w:r>
    </w:p>
    <w:p w:rsidR="009E0C1B" w:rsidRDefault="009A52EC" w:rsidP="003F5B2D">
      <w:pPr>
        <w:pStyle w:val="Corpsdetexte"/>
        <w:spacing w:before="6"/>
        <w:ind w:left="412" w:right="847" w:firstLine="239"/>
        <w:jc w:val="both"/>
      </w:pPr>
      <w:r>
        <w:t>Este módulo de formação centra-se na elaboração e adoção de instrumentos nacionais, fazendo também parte do apoio ao grupo Amigos de Kampala para a nacionalização da Convenção de Kampala.</w:t>
      </w:r>
    </w:p>
    <w:p w:rsidR="009E0C1B" w:rsidRDefault="009E0C1B" w:rsidP="003F5B2D">
      <w:pPr>
        <w:pStyle w:val="Corpsdetexte"/>
        <w:spacing w:before="12"/>
        <w:rPr>
          <w:sz w:val="17"/>
        </w:rPr>
      </w:pPr>
    </w:p>
    <w:p w:rsidR="009E0C1B" w:rsidRDefault="009A52EC" w:rsidP="003F5B2D">
      <w:pPr>
        <w:pStyle w:val="Titre1"/>
        <w:ind w:left="412"/>
      </w:pPr>
      <w:r>
        <w:t>Objetivo</w:t>
      </w:r>
    </w:p>
    <w:p w:rsidR="009E0C1B" w:rsidRDefault="009A52EC" w:rsidP="003F5B2D">
      <w:pPr>
        <w:pStyle w:val="Corpsdetexte"/>
        <w:spacing w:before="12"/>
        <w:ind w:left="412" w:right="848" w:firstLine="240"/>
        <w:jc w:val="both"/>
      </w:pPr>
      <w:r>
        <w:t>O objetivo do pacote de formação é dotar os envolvidos na elaboração de leis e políticas, ao nível regional e nacional, de competências técnicas em termos dos processos e conteúdos necessários para o seu trabalho. Os instrumentos nacionais sobre as deslocações internas visam contribuir para a sua prevenção, proteção das PDI e de outras pessoas afetadas pelas deslocações e obtenção de soluções duradouras.</w:t>
      </w:r>
    </w:p>
    <w:p w:rsidR="009E0C1B" w:rsidRDefault="009E0C1B" w:rsidP="003F5B2D">
      <w:pPr>
        <w:pStyle w:val="Corpsdetexte"/>
        <w:spacing w:before="3"/>
        <w:rPr>
          <w:sz w:val="18"/>
        </w:rPr>
      </w:pPr>
    </w:p>
    <w:p w:rsidR="009E0C1B" w:rsidRDefault="009A52EC" w:rsidP="003F5B2D">
      <w:pPr>
        <w:pStyle w:val="Titre1"/>
        <w:ind w:left="412"/>
      </w:pPr>
      <w:r>
        <w:t>Alvos</w:t>
      </w:r>
    </w:p>
    <w:p w:rsidR="009E0C1B" w:rsidRDefault="009A52EC" w:rsidP="003F5B2D">
      <w:pPr>
        <w:pStyle w:val="Titre2"/>
        <w:numPr>
          <w:ilvl w:val="0"/>
          <w:numId w:val="2"/>
        </w:numPr>
        <w:tabs>
          <w:tab w:val="left" w:pos="608"/>
        </w:tabs>
        <w:spacing w:before="246"/>
        <w:ind w:hanging="196"/>
      </w:pPr>
      <w:r>
        <w:t>Países</w:t>
      </w:r>
    </w:p>
    <w:p w:rsidR="009E0C1B" w:rsidRDefault="009A52EC" w:rsidP="003F5B2D">
      <w:pPr>
        <w:pStyle w:val="Corpsdetexte"/>
        <w:spacing w:before="16"/>
        <w:ind w:left="412" w:right="847" w:firstLine="239"/>
        <w:jc w:val="both"/>
        <w:rPr>
          <w:rFonts w:ascii="Calibri Light"/>
          <w:sz w:val="11"/>
        </w:rPr>
      </w:pPr>
      <w:r>
        <w:t>O workshop deve realizar-se em países envolvidos, ou em vias de envolvimento, em processos institucionais para desenvolver um instrumento nacional sobre as deslocações internas e que necessitam de apoio adicional nas fases de planeamento ou na definição dos seus resultados.</w:t>
      </w:r>
      <w:r>
        <w:rPr>
          <w:vertAlign w:val="superscript"/>
        </w:rPr>
        <w:t>2</w:t>
      </w:r>
    </w:p>
    <w:p w:rsidR="009E0C1B" w:rsidRDefault="009E0C1B" w:rsidP="003F5B2D">
      <w:pPr>
        <w:pStyle w:val="Corpsdetexte"/>
        <w:spacing w:before="7"/>
        <w:rPr>
          <w:rFonts w:ascii="Calibri Light"/>
        </w:rPr>
      </w:pPr>
    </w:p>
    <w:p w:rsidR="009E0C1B" w:rsidRDefault="009A52EC" w:rsidP="003F5B2D">
      <w:pPr>
        <w:pStyle w:val="Titre2"/>
        <w:numPr>
          <w:ilvl w:val="0"/>
          <w:numId w:val="2"/>
        </w:numPr>
        <w:tabs>
          <w:tab w:val="left" w:pos="620"/>
        </w:tabs>
        <w:ind w:left="619" w:hanging="208"/>
      </w:pPr>
      <w:r>
        <w:t>Participantes</w:t>
      </w:r>
    </w:p>
    <w:p w:rsidR="009E0C1B" w:rsidRDefault="009A52EC" w:rsidP="003F5B2D">
      <w:pPr>
        <w:pStyle w:val="Corpsdetexte"/>
        <w:spacing w:before="17"/>
        <w:ind w:left="412" w:right="847" w:firstLine="240"/>
        <w:jc w:val="both"/>
      </w:pPr>
      <w:r>
        <w:t>O workshop destina-se a instituições públicas ao nível local e nacional, agências humanitárias e de desenvolvimento, organizações da sociedade civil (</w:t>
      </w:r>
      <w:r>
        <w:rPr>
          <w:sz w:val="17"/>
        </w:rPr>
        <w:t>OSC</w:t>
      </w:r>
      <w:r>
        <w:t>) e associações que colaboram com e para as PDI. Os candidatos devem ser selecionados pelas entidades participantes, com base no seu potencial papel no desenvolvimento, adoção e implementação de quadros legais ou políticos sobre deslocações.</w:t>
      </w:r>
    </w:p>
    <w:p w:rsidR="009A52EC" w:rsidRDefault="009A52EC" w:rsidP="003F5B2D">
      <w:pPr>
        <w:jc w:val="both"/>
        <w:sectPr w:rsidR="009A52EC">
          <w:type w:val="continuous"/>
          <w:pgSz w:w="11910" w:h="16840"/>
          <w:pgMar w:top="520" w:right="0" w:bottom="280" w:left="0" w:header="720" w:footer="720" w:gutter="0"/>
          <w:cols w:num="2" w:space="720" w:equalWidth="0">
            <w:col w:w="5727" w:space="40"/>
            <w:col w:w="6143"/>
          </w:cols>
        </w:sectPr>
      </w:pPr>
    </w:p>
    <w:p w:rsidR="009E0C1B" w:rsidRPr="006B1B3E" w:rsidRDefault="009A52EC" w:rsidP="003F5B2D">
      <w:pPr>
        <w:pStyle w:val="Corpsdetexte"/>
        <w:tabs>
          <w:tab w:val="left" w:pos="6179"/>
          <w:tab w:val="left" w:pos="7619"/>
        </w:tabs>
        <w:spacing w:before="8"/>
        <w:ind w:left="850"/>
        <w:rPr>
          <w:sz w:val="10"/>
          <w:szCs w:val="10"/>
        </w:rPr>
        <w:sectPr w:rsidR="009E0C1B" w:rsidRPr="006B1B3E">
          <w:type w:val="continuous"/>
          <w:pgSz w:w="11910" w:h="16840"/>
          <w:pgMar w:top="520" w:right="0" w:bottom="280" w:left="0" w:header="720" w:footer="720" w:gutter="0"/>
          <w:cols w:space="720"/>
        </w:sectPr>
      </w:pPr>
      <w:r>
        <w:rPr>
          <w:u w:val="single" w:color="D6CDBF"/>
        </w:rPr>
        <w:t xml:space="preserve"> </w:t>
      </w:r>
    </w:p>
    <w:p w:rsidR="009E0C1B" w:rsidRDefault="006B1B3E" w:rsidP="00DC1B49">
      <w:pPr>
        <w:pStyle w:val="Paragraphedeliste"/>
        <w:numPr>
          <w:ilvl w:val="0"/>
          <w:numId w:val="1"/>
        </w:numPr>
        <w:tabs>
          <w:tab w:val="left" w:pos="851"/>
        </w:tabs>
        <w:spacing w:before="16"/>
        <w:ind w:left="1134" w:right="58"/>
        <w:rPr>
          <w:rFonts w:ascii="Arial"/>
          <w:sz w:val="16"/>
        </w:rPr>
      </w:pPr>
      <w:bookmarkStart w:id="0" w:name="_Hlk61971501"/>
      <w:r>
        <w:rPr>
          <w:sz w:val="16"/>
        </w:rPr>
        <w:t>Brookings-Berna, Proteção de Pessoas Deslocadas Internamente:  Manual para Legisladores e Decisores Políticos, Brookings, outubro de 2008, disponível em</w:t>
      </w:r>
      <w:r>
        <w:rPr>
          <w:color w:val="003561"/>
          <w:sz w:val="16"/>
        </w:rPr>
        <w:t xml:space="preserve"> </w:t>
      </w:r>
      <w:hyperlink r:id="rId5">
        <w:r>
          <w:rPr>
            <w:rFonts w:ascii="Arial"/>
            <w:color w:val="003561"/>
            <w:sz w:val="16"/>
            <w:u w:val="single" w:color="003561"/>
          </w:rPr>
          <w:t>http://goo</w:t>
        </w:r>
        <w:r>
          <w:rPr>
            <w:rFonts w:ascii="Arial"/>
            <w:color w:val="003561"/>
            <w:sz w:val="16"/>
          </w:rPr>
          <w:t>.</w:t>
        </w:r>
      </w:hyperlink>
      <w:hyperlink r:id="rId6">
        <w:r>
          <w:rPr>
            <w:rFonts w:ascii="Arial"/>
            <w:color w:val="003561"/>
            <w:sz w:val="16"/>
            <w:u w:val="single" w:color="003561"/>
          </w:rPr>
          <w:t xml:space="preserve"> gl/6r4ubn</w:t>
        </w:r>
      </w:hyperlink>
      <w:r>
        <w:rPr>
          <w:sz w:val="16"/>
        </w:rPr>
        <w:t xml:space="preserve">; </w:t>
      </w:r>
      <w:r>
        <w:rPr>
          <w:sz w:val="17"/>
        </w:rPr>
        <w:t>IDMC</w:t>
      </w:r>
      <w:r>
        <w:rPr>
          <w:sz w:val="16"/>
        </w:rPr>
        <w:t>/Brookings, Instrumentos Nacionais sobre as Deslocações Internas: Guia para o seu Desenvolvimento, agosto de 2013, disponível em</w:t>
      </w:r>
      <w:hyperlink r:id="rId7">
        <w:r>
          <w:rPr>
            <w:color w:val="003561"/>
            <w:sz w:val="16"/>
          </w:rPr>
          <w:t xml:space="preserve"> </w:t>
        </w:r>
      </w:hyperlink>
      <w:hyperlink r:id="rId8">
        <w:r>
          <w:rPr>
            <w:rFonts w:ascii="Arial"/>
            <w:color w:val="003561"/>
            <w:sz w:val="16"/>
            <w:u w:val="single" w:color="003561"/>
          </w:rPr>
          <w:t>http://goo.gl/0k44</w:t>
        </w:r>
        <w:r>
          <w:rPr>
            <w:rFonts w:ascii="Arial"/>
            <w:color w:val="003561"/>
            <w:sz w:val="17"/>
            <w:u w:val="single" w:color="003561"/>
          </w:rPr>
          <w:t>ZV</w:t>
        </w:r>
      </w:hyperlink>
      <w:r>
        <w:rPr>
          <w:sz w:val="16"/>
        </w:rPr>
        <w:t xml:space="preserve">; </w:t>
      </w:r>
      <w:r>
        <w:rPr>
          <w:sz w:val="17"/>
        </w:rPr>
        <w:t xml:space="preserve">ACNUR/UIP, </w:t>
      </w:r>
      <w:r>
        <w:rPr>
          <w:sz w:val="16"/>
        </w:rPr>
        <w:t>Deslocações Internas: Responsabilidade e Ação, manual para deputados, outubro de 2013, disponível em</w:t>
      </w:r>
      <w:hyperlink r:id="rId9">
        <w:r>
          <w:rPr>
            <w:color w:val="003561"/>
            <w:sz w:val="16"/>
          </w:rPr>
          <w:t xml:space="preserve"> </w:t>
        </w:r>
        <w:r>
          <w:rPr>
            <w:rFonts w:ascii="Arial"/>
            <w:color w:val="003561"/>
            <w:sz w:val="16"/>
            <w:u w:val="single" w:color="003561"/>
          </w:rPr>
          <w:t>http://goo.gl/Dvyq2A</w:t>
        </w:r>
      </w:hyperlink>
      <w:r>
        <w:t>.</w:t>
      </w:r>
      <w:bookmarkEnd w:id="0"/>
      <w:r w:rsidR="009A52EC">
        <w:br w:type="column"/>
      </w:r>
    </w:p>
    <w:p w:rsidR="009E0C1B" w:rsidRDefault="009A52EC" w:rsidP="003F5B2D">
      <w:pPr>
        <w:pStyle w:val="Paragraphedeliste"/>
        <w:numPr>
          <w:ilvl w:val="0"/>
          <w:numId w:val="1"/>
        </w:numPr>
        <w:tabs>
          <w:tab w:val="left" w:pos="696"/>
        </w:tabs>
        <w:spacing w:before="13"/>
        <w:ind w:right="848"/>
        <w:rPr>
          <w:sz w:val="16"/>
        </w:rPr>
      </w:pPr>
      <w:bookmarkStart w:id="1" w:name="_Hlk61971551"/>
      <w:r>
        <w:rPr>
          <w:sz w:val="16"/>
        </w:rPr>
        <w:t>Podem também ser considerados workshops regionais direcionados para um público diversificado, incluindo as redes regionais dos membros do Parlamento e representantes da UA e das Comunidades Económicas Regionais (CER).</w:t>
      </w:r>
    </w:p>
    <w:bookmarkEnd w:id="1"/>
    <w:p w:rsidR="009E0C1B" w:rsidRDefault="009E0C1B" w:rsidP="003F5B2D">
      <w:pPr>
        <w:jc w:val="both"/>
        <w:rPr>
          <w:sz w:val="16"/>
        </w:rPr>
        <w:sectPr w:rsidR="009E0C1B">
          <w:type w:val="continuous"/>
          <w:pgSz w:w="11910" w:h="16840"/>
          <w:pgMar w:top="520" w:right="0" w:bottom="280" w:left="0" w:header="720" w:footer="720" w:gutter="0"/>
          <w:cols w:num="2" w:space="720" w:equalWidth="0">
            <w:col w:w="5728" w:space="40"/>
            <w:col w:w="6142"/>
          </w:cols>
        </w:sectPr>
      </w:pPr>
    </w:p>
    <w:p w:rsidR="009E0C1B" w:rsidRDefault="009A52EC" w:rsidP="003F5B2D">
      <w:pPr>
        <w:tabs>
          <w:tab w:val="left" w:pos="2646"/>
          <w:tab w:val="left" w:pos="5325"/>
          <w:tab w:val="left" w:pos="7584"/>
          <w:tab w:val="left" w:pos="10042"/>
        </w:tabs>
        <w:ind w:left="850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874430" cy="45243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430" cy="452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</w:rPr>
        <w:drawing>
          <wp:inline distT="0" distB="0" distL="0" distR="0">
            <wp:extent cx="383844" cy="319087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844" cy="31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942008" cy="289369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008" cy="289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EA0159">
        <w:pict>
          <v:group id="_x0000_s1040" style="width:24.55pt;height:24.55pt;mso-position-horizontal-relative:char;mso-position-vertical-relative:line" coordsize="491,491">
            <v:rect id="_x0000_s1042" style="position:absolute;width:491;height:491" fillcolor="#ef7d0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53;top:207;width:384;height:177">
              <v:imagedata r:id="rId13" o:title=""/>
            </v:shape>
            <w10:anchorlock/>
          </v:group>
        </w:pict>
      </w:r>
      <w:r>
        <w:rPr>
          <w:rFonts w:ascii="Times New Roman"/>
          <w:sz w:val="20"/>
        </w:rPr>
        <w:t xml:space="preserve"> </w:t>
      </w:r>
      <w:r w:rsidR="00EA0159">
        <w:pict>
          <v:group id="_x0000_s1036" style="width:67.3pt;height:13.05pt;mso-position-horizontal-relative:char;mso-position-vertical-relative:line" coordsize="1346,261">
            <v:shape id="_x0000_s1039" style="position:absolute;width:877;height:103" coordsize="877,103" o:spt="100" adj="0,,0" path="m76,2l64,2r1,78l12,2,,2r,98l12,100,11,21r53,79l76,100,76,2xm197,50l193,29,183,13r,37l183,51r-2,14l176,78,165,88r-16,4l132,88,122,79,115,66,113,51r2,-15l122,23r11,-9l148,10r15,3l174,22r7,12l183,50r,-37l183,13r-4,-3l167,3,148,,131,3r-16,9l104,28r-4,22l99,51r4,21l113,88r15,10l148,102r21,-4l178,92r7,-5l194,70r3,-20xm300,100l274,58r-1,-1l296,53r,-5l296,22r-3,-8l292,13,283,6r,22l283,38r-3,6l267,48r-34,l233,13r33,l272,13r5,4l283,22r,6l283,6,278,3r-8,l257,2r-36,l221,100r12,l233,58r25,l285,100r15,xm445,2r-14,l408,83,383,2r-13,l346,83,323,2r-14,l339,100r13,l377,19r25,81l415,100,445,2xm532,88r-56,l476,55r47,l523,44r-47,l476,14r54,l530,2r-67,l463,100r69,l532,88xm640,28r-4,-9l629,12,620,4,608,,595,,572,5,557,17r-9,17l545,52r3,20l558,88r15,10l593,102r14,l621,98r8,-12l629,100r11,l640,48r-45,l595,59r34,l625,75r-8,10l605,89r-10,2l578,87,567,78,561,65,559,51r2,-14l567,24r11,-9l596,11r12,l616,16r8,8l627,32r13,-4xm679,2r-13,l666,100r13,l679,2xm783,100l772,70,768,59,754,23r,36l725,59,740,19r14,40l754,23r-1,-4l747,2r-13,l697,100r13,l721,70r37,l769,100r14,xm877,2r-12,l866,80,813,2r-12,l801,100r12,l812,21r53,79l877,100r,-98xe" fillcolor="black" stroked="f">
              <v:stroke joinstyle="round"/>
              <v:formulas/>
              <v:path arrowok="t" o:connecttype="segments"/>
            </v:shape>
            <v:shape id="_x0000_s1038" type="#_x0000_t75" style="position:absolute;top:158;width:642;height:102">
              <v:imagedata r:id="rId14" o:title=""/>
            </v:shape>
            <v:shape id="_x0000_s1037" type="#_x0000_t75" style="position:absolute;left:700;top:158;width:646;height:102">
              <v:imagedata r:id="rId15" o:title=""/>
            </v:shape>
            <w10:anchorlock/>
          </v:group>
        </w:pict>
      </w:r>
      <w:r>
        <w:rPr>
          <w:sz w:val="20"/>
        </w:rPr>
        <w:tab/>
      </w:r>
      <w:r>
        <w:rPr>
          <w:noProof/>
        </w:rPr>
        <w:drawing>
          <wp:inline distT="0" distB="0" distL="0" distR="0">
            <wp:extent cx="1317236" cy="280987"/>
            <wp:effectExtent l="0" t="0" r="0" b="0"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7236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</w:rPr>
        <w:drawing>
          <wp:inline distT="0" distB="0" distL="0" distR="0">
            <wp:extent cx="639900" cy="606742"/>
            <wp:effectExtent l="0" t="0" r="0" b="0"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900" cy="606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C1B" w:rsidRDefault="009E0C1B" w:rsidP="003F5B2D">
      <w:pPr>
        <w:rPr>
          <w:sz w:val="20"/>
        </w:rPr>
        <w:sectPr w:rsidR="009E0C1B">
          <w:type w:val="continuous"/>
          <w:pgSz w:w="11910" w:h="16840"/>
          <w:pgMar w:top="520" w:right="0" w:bottom="280" w:left="0" w:header="720" w:footer="720" w:gutter="0"/>
          <w:cols w:space="720"/>
        </w:sectPr>
      </w:pPr>
    </w:p>
    <w:p w:rsidR="009E0C1B" w:rsidRDefault="009A52EC" w:rsidP="003F5B2D">
      <w:pPr>
        <w:pStyle w:val="Corpsdetexte"/>
        <w:spacing w:before="101"/>
        <w:ind w:left="850" w:right="1" w:firstLine="240"/>
        <w:jc w:val="both"/>
      </w:pPr>
      <w:r>
        <w:lastRenderedPageBreak/>
        <w:t>O perfil dos potenciais candidatos varia entre pessoal do ministério, membros do Parlamento, redatores governamentais e pessoal de OSCs e agências internacionais humanitárias e de desenvolvimento com potencial para dar apoio a esse processo. O conhecimento prévio de noções básicas sobre proteção das PDI deve ser incentivado.</w:t>
      </w:r>
    </w:p>
    <w:p w:rsidR="009E0C1B" w:rsidRDefault="009E0C1B" w:rsidP="003F5B2D">
      <w:pPr>
        <w:pStyle w:val="Corpsdetexte"/>
        <w:rPr>
          <w:sz w:val="18"/>
        </w:rPr>
      </w:pPr>
    </w:p>
    <w:p w:rsidR="009E0C1B" w:rsidRDefault="009A52EC" w:rsidP="003F5B2D">
      <w:pPr>
        <w:pStyle w:val="Titre1"/>
      </w:pPr>
      <w:r>
        <w:t>Estrutura e duração</w:t>
      </w:r>
    </w:p>
    <w:p w:rsidR="009E0C1B" w:rsidRDefault="009A52EC" w:rsidP="003F5B2D">
      <w:pPr>
        <w:pStyle w:val="Corpsdetexte"/>
        <w:spacing w:before="13"/>
        <w:ind w:left="1090"/>
        <w:jc w:val="both"/>
      </w:pPr>
      <w:r>
        <w:t>O workshop deverá ter uma duração de 2,5 a três dias. Após uma introdução geral sobre as deslocações internas,</w:t>
      </w:r>
    </w:p>
    <w:p w:rsidR="009E0C1B" w:rsidRDefault="009A52EC" w:rsidP="003F5B2D">
      <w:pPr>
        <w:pStyle w:val="Corpsdetexte"/>
        <w:spacing w:before="2"/>
        <w:ind w:left="850"/>
        <w:jc w:val="both"/>
      </w:pPr>
      <w:r>
        <w:t>os participantes apresentam o seu contexto nacional e expõem o cenário. Em seguida, trabalham em quatro módulos principais:</w:t>
      </w:r>
    </w:p>
    <w:p w:rsidR="009E0C1B" w:rsidRDefault="009A52EC" w:rsidP="003F5B2D">
      <w:pPr>
        <w:pStyle w:val="Paragraphedeliste"/>
        <w:numPr>
          <w:ilvl w:val="1"/>
          <w:numId w:val="1"/>
        </w:numPr>
        <w:tabs>
          <w:tab w:val="left" w:pos="1448"/>
        </w:tabs>
        <w:spacing w:before="2"/>
        <w:rPr>
          <w:sz w:val="19"/>
        </w:rPr>
      </w:pPr>
      <w:r>
        <w:rPr>
          <w:rFonts w:ascii="Arial" w:hAnsi="Arial"/>
          <w:sz w:val="19"/>
        </w:rPr>
        <w:t xml:space="preserve">Normas: </w:t>
      </w:r>
      <w:r>
        <w:rPr>
          <w:sz w:val="19"/>
        </w:rPr>
        <w:t>análise das obrigações do seu país para com as PDI, ao abrigo dos quadros legais regionais e internacionais.</w:t>
      </w:r>
    </w:p>
    <w:p w:rsidR="009E0C1B" w:rsidRDefault="009A52EC" w:rsidP="003F5B2D">
      <w:pPr>
        <w:pStyle w:val="Paragraphedeliste"/>
        <w:numPr>
          <w:ilvl w:val="1"/>
          <w:numId w:val="1"/>
        </w:numPr>
        <w:tabs>
          <w:tab w:val="left" w:pos="1448"/>
        </w:tabs>
        <w:spacing w:before="3"/>
        <w:rPr>
          <w:sz w:val="19"/>
        </w:rPr>
      </w:pPr>
      <w:r>
        <w:rPr>
          <w:rFonts w:ascii="Arial"/>
          <w:sz w:val="19"/>
        </w:rPr>
        <w:t xml:space="preserve">Contexto nacional: </w:t>
      </w:r>
      <w:r>
        <w:rPr>
          <w:sz w:val="19"/>
        </w:rPr>
        <w:t>análise da situação e avaliação das várias etapas de uma resposta nacional.</w:t>
      </w:r>
    </w:p>
    <w:p w:rsidR="009E0C1B" w:rsidRDefault="009A52EC" w:rsidP="003F5B2D">
      <w:pPr>
        <w:pStyle w:val="Paragraphedeliste"/>
        <w:numPr>
          <w:ilvl w:val="1"/>
          <w:numId w:val="1"/>
        </w:numPr>
        <w:tabs>
          <w:tab w:val="left" w:pos="1447"/>
          <w:tab w:val="left" w:pos="1448"/>
        </w:tabs>
        <w:spacing w:before="2"/>
        <w:rPr>
          <w:rFonts w:ascii="Arial"/>
          <w:sz w:val="19"/>
        </w:rPr>
      </w:pPr>
      <w:r>
        <w:rPr>
          <w:rFonts w:ascii="Arial"/>
          <w:sz w:val="19"/>
        </w:rPr>
        <w:t>Processo e conte</w:t>
      </w:r>
      <w:r>
        <w:rPr>
          <w:rFonts w:ascii="Arial"/>
          <w:sz w:val="19"/>
        </w:rPr>
        <w:t>ú</w:t>
      </w:r>
      <w:r>
        <w:rPr>
          <w:rFonts w:ascii="Arial"/>
          <w:sz w:val="19"/>
        </w:rPr>
        <w:t>do:</w:t>
      </w:r>
    </w:p>
    <w:p w:rsidR="009E0C1B" w:rsidRDefault="009A52EC" w:rsidP="003F5B2D">
      <w:pPr>
        <w:pStyle w:val="Paragraphedeliste"/>
        <w:numPr>
          <w:ilvl w:val="2"/>
          <w:numId w:val="1"/>
        </w:numPr>
        <w:tabs>
          <w:tab w:val="left" w:pos="1701"/>
        </w:tabs>
        <w:rPr>
          <w:sz w:val="19"/>
        </w:rPr>
      </w:pPr>
      <w:r>
        <w:rPr>
          <w:sz w:val="19"/>
        </w:rPr>
        <w:t>Preparação e aplicação do processo.</w:t>
      </w:r>
    </w:p>
    <w:p w:rsidR="009E0C1B" w:rsidRDefault="009A52EC" w:rsidP="003F5B2D">
      <w:pPr>
        <w:pStyle w:val="Paragraphedeliste"/>
        <w:numPr>
          <w:ilvl w:val="2"/>
          <w:numId w:val="1"/>
        </w:numPr>
        <w:tabs>
          <w:tab w:val="left" w:pos="1701"/>
        </w:tabs>
        <w:spacing w:before="2"/>
        <w:rPr>
          <w:sz w:val="19"/>
        </w:rPr>
      </w:pPr>
      <w:r>
        <w:rPr>
          <w:sz w:val="19"/>
        </w:rPr>
        <w:t>Fases: elaboração, consulta, validação e adoção.</w:t>
      </w:r>
    </w:p>
    <w:p w:rsidR="009E0C1B" w:rsidRDefault="009A52EC" w:rsidP="003F5B2D">
      <w:pPr>
        <w:pStyle w:val="Paragraphedeliste"/>
        <w:numPr>
          <w:ilvl w:val="2"/>
          <w:numId w:val="1"/>
        </w:numPr>
        <w:tabs>
          <w:tab w:val="left" w:pos="1701"/>
        </w:tabs>
        <w:rPr>
          <w:sz w:val="19"/>
        </w:rPr>
      </w:pPr>
      <w:r>
        <w:rPr>
          <w:sz w:val="19"/>
        </w:rPr>
        <w:t>Implementação: planeamento e coordenação, conhecimento e capacidades, monitorização e avaliação.</w:t>
      </w:r>
    </w:p>
    <w:p w:rsidR="009E0C1B" w:rsidRDefault="009A52EC" w:rsidP="003F5B2D">
      <w:pPr>
        <w:pStyle w:val="Corpsdetexte"/>
        <w:spacing w:before="63"/>
        <w:ind w:left="850" w:firstLine="240"/>
        <w:jc w:val="both"/>
      </w:pPr>
      <w:r>
        <w:t>Os debates e os exercícios práticos são planeados conforme as decisões tomadas em relação ao processo, âmbito, formato, tipo e conteúdo do instrumento nacional sobre as deslocações internas mais aplicável ao país em causa.</w:t>
      </w:r>
    </w:p>
    <w:p w:rsidR="009E0C1B" w:rsidRDefault="009E0C1B" w:rsidP="003F5B2D">
      <w:pPr>
        <w:pStyle w:val="Corpsdetexte"/>
        <w:spacing w:before="3"/>
      </w:pPr>
    </w:p>
    <w:p w:rsidR="009E0C1B" w:rsidRDefault="009A52EC" w:rsidP="003F5B2D">
      <w:pPr>
        <w:pStyle w:val="Corpsdetexte"/>
        <w:ind w:left="850" w:right="1" w:firstLine="240"/>
        <w:jc w:val="both"/>
      </w:pPr>
      <w:r>
        <w:rPr>
          <w:rFonts w:ascii="Tahoma"/>
          <w:b/>
        </w:rPr>
        <w:t>Plano de a</w:t>
      </w:r>
      <w:r>
        <w:rPr>
          <w:rFonts w:ascii="Tahoma"/>
          <w:b/>
        </w:rPr>
        <w:t>çã</w:t>
      </w:r>
      <w:r>
        <w:rPr>
          <w:rFonts w:ascii="Tahoma"/>
          <w:b/>
        </w:rPr>
        <w:t xml:space="preserve">o: </w:t>
      </w:r>
      <w:r>
        <w:t>com base nos resultados das primeiras três sessões, os participantes preparam um plano de ação nacional para o desenvolvimento do seu instrumento nacional, incluindo a atribuição de papéis e responsabilidades.</w:t>
      </w:r>
    </w:p>
    <w:p w:rsidR="009E0C1B" w:rsidRDefault="009A52EC" w:rsidP="003F5B2D">
      <w:pPr>
        <w:pStyle w:val="Corpsdetexte"/>
        <w:spacing w:before="4"/>
        <w:ind w:left="850" w:firstLine="239"/>
        <w:jc w:val="both"/>
      </w:pPr>
      <w:r>
        <w:t>O pacote geral segue uma estrutura modular, à qual se pode associar um vasto leque de sessões, consoante as necessidades do país em causa.</w:t>
      </w:r>
    </w:p>
    <w:p w:rsidR="009E0C1B" w:rsidRDefault="009A52EC" w:rsidP="003F5B2D">
      <w:pPr>
        <w:pStyle w:val="Corpsdetexte"/>
        <w:spacing w:before="3"/>
        <w:ind w:left="850" w:right="1" w:firstLine="239"/>
        <w:jc w:val="both"/>
      </w:pPr>
      <w:r>
        <w:t>A estrutura e resultados dos workshops regionais vai provavelmente diferir, em certa medida, dos previstos para participantes nacionais, mas terá por base os mesmos conceitos, noções, quadros legais e instrumentos.</w:t>
      </w:r>
    </w:p>
    <w:p w:rsidR="009E0C1B" w:rsidRDefault="009A52EC" w:rsidP="003F5B2D">
      <w:pPr>
        <w:pStyle w:val="Corpsdetexte"/>
        <w:ind w:left="850" w:right="1" w:firstLine="239"/>
        <w:jc w:val="both"/>
      </w:pPr>
      <w:r>
        <w:t>Dependendo dos participantes, e dada a estrutura modular do pacote, o workshop pode ser reduzido, caso necessário</w:t>
      </w:r>
      <w:bookmarkStart w:id="2" w:name="_GoBack"/>
      <w:bookmarkEnd w:id="2"/>
      <w:r>
        <w:t>.</w:t>
      </w:r>
    </w:p>
    <w:p w:rsidR="009E0C1B" w:rsidRDefault="009A52EC" w:rsidP="003F5B2D">
      <w:pPr>
        <w:pStyle w:val="Titre1"/>
        <w:spacing w:before="213"/>
      </w:pPr>
      <w:r>
        <w:t>Metodologia</w:t>
      </w:r>
    </w:p>
    <w:p w:rsidR="009E0C1B" w:rsidRDefault="009A52EC" w:rsidP="003F5B2D">
      <w:pPr>
        <w:pStyle w:val="Corpsdetexte"/>
        <w:spacing w:before="12"/>
        <w:ind w:left="850" w:firstLine="240"/>
        <w:jc w:val="both"/>
      </w:pPr>
      <w:r>
        <w:t>O workshop inclui um conjunto de apresentações, exercícios de resolução de problemas, debates e outras técnicas de formação participativas para abordar diferentes estilos de aprendizagem e colocar os participantes num caminho de aprendizagem que leve a um resultado prático.</w:t>
      </w:r>
    </w:p>
    <w:p w:rsidR="009E0C1B" w:rsidRDefault="009A52EC" w:rsidP="003F5B2D">
      <w:pPr>
        <w:pStyle w:val="Corpsdetexte"/>
        <w:spacing w:before="5"/>
        <w:ind w:left="850" w:right="1" w:firstLine="239"/>
        <w:jc w:val="both"/>
      </w:pPr>
      <w:r>
        <w:t>Exemplos de países, casos de boas práticas e extratos de leis e políticas atuais são dados aos participantes durante as apresentações e como material de apoio, que visam incentivar a partilha de experiências.</w:t>
      </w:r>
    </w:p>
    <w:p w:rsidR="009E0C1B" w:rsidRDefault="009A52EC" w:rsidP="003F5B2D">
      <w:pPr>
        <w:pStyle w:val="Corpsdetexte"/>
        <w:spacing w:before="4"/>
        <w:ind w:left="850" w:right="1" w:firstLine="239"/>
        <w:jc w:val="both"/>
      </w:pPr>
      <w:r>
        <w:t>As fontes abaixo são utilizadas durante os exercícios e o trabalho de grupo para orientar os participantes em relação ao processo e conteúdo:</w:t>
      </w:r>
    </w:p>
    <w:p w:rsidR="009E0C1B" w:rsidRDefault="00EA0159" w:rsidP="003F5B2D">
      <w:pPr>
        <w:pStyle w:val="Corpsdetexte"/>
        <w:spacing w:before="3"/>
        <w:ind w:left="1247" w:right="15"/>
      </w:pPr>
      <w:r>
        <w:pict>
          <v:rect id="_x0000_s1035" style="position:absolute;left:0;text-align:left;margin-left:54.35pt;margin-top:4.2pt;width:3pt;height:3pt;z-index:15730176;mso-position-horizontal-relative:page" fillcolor="#003561" stroked="f">
            <w10:wrap anchorx="page"/>
          </v:rect>
        </w:pict>
      </w:r>
      <w:r>
        <w:pict>
          <v:rect id="_x0000_s1034" style="position:absolute;left:0;text-align:left;margin-left:54.35pt;margin-top:16.2pt;width:3pt;height:3pt;z-index:15730688;mso-position-horizontal-relative:page" fillcolor="#003561" stroked="f">
            <w10:wrap anchorx="page"/>
          </v:rect>
        </w:pict>
      </w:r>
      <w:r w:rsidR="009A52EC">
        <w:t>Princípios Orientadores relativos aos Deslocados Internos de 1998 , Protocolo dos Grandes Lagos sobre a Proteção e Assistência às PDI, 2006.</w:t>
      </w:r>
    </w:p>
    <w:p w:rsidR="009E0C1B" w:rsidRDefault="00EA0159" w:rsidP="003F5B2D">
      <w:pPr>
        <w:pStyle w:val="Corpsdetexte"/>
        <w:spacing w:before="4"/>
        <w:ind w:left="1247"/>
      </w:pPr>
      <w:r>
        <w:pict>
          <v:rect id="_x0000_s1033" style="position:absolute;left:0;text-align:left;margin-left:54.35pt;margin-top:4.25pt;width:3pt;height:3pt;z-index:15731200;mso-position-horizontal-relative:page" fillcolor="#003561" stroked="f">
            <w10:wrap anchorx="page"/>
          </v:rect>
        </w:pict>
      </w:r>
      <w:r w:rsidR="009A52EC">
        <w:t>Convenção de Kampala, 2009.</w:t>
      </w:r>
    </w:p>
    <w:p w:rsidR="009E0C1B" w:rsidRDefault="00EA0159" w:rsidP="003F5B2D">
      <w:pPr>
        <w:pStyle w:val="Corpsdetexte"/>
        <w:spacing w:before="8"/>
        <w:ind w:left="1247"/>
      </w:pPr>
      <w:r>
        <w:pict>
          <v:rect id="_x0000_s1032" style="position:absolute;left:0;text-align:left;margin-left:54.35pt;margin-top:4.45pt;width:3pt;height:3pt;z-index:15731712;mso-position-horizontal-relative:page" fillcolor="#003561" stroked="f">
            <w10:wrap anchorx="page"/>
          </v:rect>
        </w:pict>
      </w:r>
      <w:r w:rsidR="009A52EC">
        <w:t>Recomendação do Comité de Ministros do Conselho de Europa sobre as PDI (2006)</w:t>
      </w:r>
      <w:r w:rsidR="009A52EC">
        <w:rPr>
          <w:vertAlign w:val="superscript"/>
        </w:rPr>
        <w:t>6</w:t>
      </w:r>
      <w:r w:rsidR="009A52EC">
        <w:t xml:space="preserve"> .</w:t>
      </w:r>
    </w:p>
    <w:p w:rsidR="009E0C1B" w:rsidRDefault="00EA0159" w:rsidP="003F5B2D">
      <w:pPr>
        <w:pStyle w:val="Corpsdetexte"/>
        <w:spacing w:before="2"/>
        <w:ind w:left="1247"/>
      </w:pPr>
      <w:r>
        <w:pict>
          <v:rect id="_x0000_s1031" style="position:absolute;left:0;text-align:left;margin-left:54.35pt;margin-top:4.15pt;width:3pt;height:3pt;z-index:15732224;mso-position-horizontal-relative:page" fillcolor="#003561" stroked="f">
            <w10:wrap anchorx="page"/>
          </v:rect>
        </w:pict>
      </w:r>
      <w:r w:rsidR="009A52EC">
        <w:t>Quadro de Brookings-Berna de responsabilidade nacional, agosto de 2005.</w:t>
      </w:r>
    </w:p>
    <w:p w:rsidR="009E0C1B" w:rsidRDefault="009A52EC" w:rsidP="003F5B2D">
      <w:pPr>
        <w:pStyle w:val="Corpsdetexte"/>
        <w:spacing w:before="101"/>
        <w:ind w:left="808" w:right="848"/>
        <w:jc w:val="both"/>
      </w:pPr>
      <w:r>
        <w:br w:type="column"/>
      </w:r>
      <w:r>
        <w:t>Diretrizes operacionais do IASC sobre a proteção em situações de catástrofes naturais, janeiro de 2011.</w:t>
      </w:r>
    </w:p>
    <w:p w:rsidR="009E0C1B" w:rsidRDefault="00EA0159" w:rsidP="003F5B2D">
      <w:pPr>
        <w:pStyle w:val="Corpsdetexte"/>
        <w:spacing w:before="2"/>
        <w:ind w:left="808" w:right="848"/>
        <w:jc w:val="both"/>
      </w:pPr>
      <w:r>
        <w:pict>
          <v:rect id="_x0000_s1030" style="position:absolute;left:0;text-align:left;margin-left:320.8pt;margin-top:-19.85pt;width:3pt;height:3pt;z-index:15732736;mso-position-horizontal-relative:page" fillcolor="#003561" stroked="f">
            <w10:wrap anchorx="page"/>
          </v:rect>
        </w:pict>
      </w:r>
      <w:r>
        <w:pict>
          <v:rect id="_x0000_s1029" style="position:absolute;left:0;text-align:left;margin-left:320.8pt;margin-top:4.15pt;width:3pt;height:3pt;z-index:15733248;mso-position-horizontal-relative:page" fillcolor="#003561" stroked="f">
            <w10:wrap anchorx="page"/>
          </v:rect>
        </w:pict>
      </w:r>
      <w:r>
        <w:pict>
          <v:rect id="_x0000_s1028" style="position:absolute;left:0;text-align:left;margin-left:320.8pt;margin-top:16.15pt;width:3pt;height:3pt;z-index:15733760;mso-position-horizontal-relative:page" fillcolor="#003561" stroked="f">
            <w10:wrap anchorx="page"/>
          </v:rect>
        </w:pict>
      </w:r>
      <w:r>
        <w:pict>
          <v:rect id="_x0000_s1027" style="position:absolute;left:0;text-align:left;margin-left:320.8pt;margin-top:40.15pt;width:3pt;height:3pt;z-index:15734272;mso-position-horizontal-relative:page" fillcolor="#003561" stroked="f">
            <w10:wrap anchorx="page"/>
          </v:rect>
        </w:pict>
      </w:r>
      <w:r w:rsidR="009A52EC">
        <w:t>Quadro do IASC sobre soluções duradouras para as PDI, abril de 2010; Proteção de Pessoas Deslocadas Internamente: Manual para Legisladores e Decisores Políticos, Brookings-Berna, outubro de 2008; Instrumentos Nacionais sobre as Deslocações Internas: Guia para o seu Desenvolvimento, IDMC-Conselho Norueguês para os Refugiados/Brookings-London School of Economics (LSE), agosto de 2013.</w:t>
      </w:r>
    </w:p>
    <w:p w:rsidR="009E0C1B" w:rsidRDefault="00EA0159" w:rsidP="003F5B2D">
      <w:pPr>
        <w:pStyle w:val="Corpsdetexte"/>
        <w:spacing w:before="8"/>
        <w:ind w:left="808" w:right="848"/>
        <w:jc w:val="both"/>
      </w:pPr>
      <w:r>
        <w:pict>
          <v:rect id="_x0000_s1026" style="position:absolute;left:0;text-align:left;margin-left:320.8pt;margin-top:4.45pt;width:3pt;height:3pt;z-index:15734784;mso-position-horizontal-relative:page" fillcolor="#003561" stroked="f">
            <w10:wrap anchorx="page"/>
          </v:rect>
        </w:pict>
      </w:r>
      <w:r w:rsidR="009A52EC">
        <w:t>Deslocações Internas: Responsabilidade e Ação, Manual da Agência das Nações Unidas para os Refugiados (ACNUR)/União Interparlamentar (UIP), outubro de 2013.</w:t>
      </w:r>
    </w:p>
    <w:sectPr w:rsidR="009E0C1B">
      <w:pgSz w:w="11910" w:h="16840"/>
      <w:pgMar w:top="660" w:right="0" w:bottom="280" w:left="0" w:header="720" w:footer="720" w:gutter="0"/>
      <w:cols w:num="2" w:space="720" w:equalWidth="0">
        <w:col w:w="5729" w:space="40"/>
        <w:col w:w="614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24FC3"/>
    <w:multiLevelType w:val="hybridMultilevel"/>
    <w:tmpl w:val="6A0E11DC"/>
    <w:lvl w:ilvl="0" w:tplc="7BCEFA7C">
      <w:start w:val="1"/>
      <w:numFmt w:val="lowerLetter"/>
      <w:lvlText w:val="%1."/>
      <w:lvlJc w:val="left"/>
      <w:pPr>
        <w:ind w:left="607" w:hanging="195"/>
      </w:pPr>
      <w:rPr>
        <w:rFonts w:ascii="Arial" w:eastAsia="Arial" w:hAnsi="Arial" w:cs="Arial" w:hint="default"/>
        <w:i/>
        <w:w w:val="85"/>
        <w:sz w:val="20"/>
        <w:szCs w:val="20"/>
      </w:rPr>
    </w:lvl>
    <w:lvl w:ilvl="1" w:tplc="2BCA5DFA">
      <w:numFmt w:val="bullet"/>
      <w:lvlText w:val="•"/>
      <w:lvlJc w:val="left"/>
      <w:pPr>
        <w:ind w:left="1153" w:hanging="195"/>
      </w:pPr>
      <w:rPr>
        <w:rFonts w:hint="default"/>
      </w:rPr>
    </w:lvl>
    <w:lvl w:ilvl="2" w:tplc="927C2948">
      <w:numFmt w:val="bullet"/>
      <w:lvlText w:val="•"/>
      <w:lvlJc w:val="left"/>
      <w:pPr>
        <w:ind w:left="1707" w:hanging="195"/>
      </w:pPr>
      <w:rPr>
        <w:rFonts w:hint="default"/>
      </w:rPr>
    </w:lvl>
    <w:lvl w:ilvl="3" w:tplc="3A20708E">
      <w:numFmt w:val="bullet"/>
      <w:lvlText w:val="•"/>
      <w:lvlJc w:val="left"/>
      <w:pPr>
        <w:ind w:left="2261" w:hanging="195"/>
      </w:pPr>
      <w:rPr>
        <w:rFonts w:hint="default"/>
      </w:rPr>
    </w:lvl>
    <w:lvl w:ilvl="4" w:tplc="9A0A1310">
      <w:numFmt w:val="bullet"/>
      <w:lvlText w:val="•"/>
      <w:lvlJc w:val="left"/>
      <w:pPr>
        <w:ind w:left="2815" w:hanging="195"/>
      </w:pPr>
      <w:rPr>
        <w:rFonts w:hint="default"/>
      </w:rPr>
    </w:lvl>
    <w:lvl w:ilvl="5" w:tplc="A8D6B280">
      <w:numFmt w:val="bullet"/>
      <w:lvlText w:val="•"/>
      <w:lvlJc w:val="left"/>
      <w:pPr>
        <w:ind w:left="3369" w:hanging="195"/>
      </w:pPr>
      <w:rPr>
        <w:rFonts w:hint="default"/>
      </w:rPr>
    </w:lvl>
    <w:lvl w:ilvl="6" w:tplc="715AE7E0">
      <w:numFmt w:val="bullet"/>
      <w:lvlText w:val="•"/>
      <w:lvlJc w:val="left"/>
      <w:pPr>
        <w:ind w:left="3923" w:hanging="195"/>
      </w:pPr>
      <w:rPr>
        <w:rFonts w:hint="default"/>
      </w:rPr>
    </w:lvl>
    <w:lvl w:ilvl="7" w:tplc="39249B2A">
      <w:numFmt w:val="bullet"/>
      <w:lvlText w:val="•"/>
      <w:lvlJc w:val="left"/>
      <w:pPr>
        <w:ind w:left="4477" w:hanging="195"/>
      </w:pPr>
      <w:rPr>
        <w:rFonts w:hint="default"/>
      </w:rPr>
    </w:lvl>
    <w:lvl w:ilvl="8" w:tplc="359AC338">
      <w:numFmt w:val="bullet"/>
      <w:lvlText w:val="•"/>
      <w:lvlJc w:val="left"/>
      <w:pPr>
        <w:ind w:left="5031" w:hanging="195"/>
      </w:pPr>
      <w:rPr>
        <w:rFonts w:hint="default"/>
      </w:rPr>
    </w:lvl>
  </w:abstractNum>
  <w:abstractNum w:abstractNumId="1" w15:restartNumberingAfterBreak="0">
    <w:nsid w:val="68A975A1"/>
    <w:multiLevelType w:val="hybridMultilevel"/>
    <w:tmpl w:val="E9502154"/>
    <w:lvl w:ilvl="0" w:tplc="E20C988A">
      <w:start w:val="1"/>
      <w:numFmt w:val="decimal"/>
      <w:lvlText w:val="%1"/>
      <w:lvlJc w:val="left"/>
      <w:pPr>
        <w:ind w:left="695" w:hanging="284"/>
      </w:pPr>
      <w:rPr>
        <w:rFonts w:ascii="Calibri" w:eastAsia="Calibri" w:hAnsi="Calibri" w:cs="Calibri" w:hint="default"/>
        <w:w w:val="61"/>
        <w:sz w:val="16"/>
        <w:szCs w:val="16"/>
      </w:rPr>
    </w:lvl>
    <w:lvl w:ilvl="1" w:tplc="4CE440EA">
      <w:start w:val="1"/>
      <w:numFmt w:val="decimal"/>
      <w:lvlText w:val="%2."/>
      <w:lvlJc w:val="left"/>
      <w:pPr>
        <w:ind w:left="1447" w:hanging="361"/>
      </w:pPr>
      <w:rPr>
        <w:rFonts w:ascii="Calibri" w:eastAsia="Calibri" w:hAnsi="Calibri" w:cs="Calibri" w:hint="default"/>
        <w:spacing w:val="0"/>
        <w:w w:val="63"/>
        <w:sz w:val="19"/>
        <w:szCs w:val="19"/>
      </w:rPr>
    </w:lvl>
    <w:lvl w:ilvl="2" w:tplc="DA50C56E">
      <w:start w:val="1"/>
      <w:numFmt w:val="lowerLetter"/>
      <w:lvlText w:val="%3."/>
      <w:lvlJc w:val="left"/>
      <w:pPr>
        <w:ind w:left="1700" w:hanging="227"/>
      </w:pPr>
      <w:rPr>
        <w:rFonts w:ascii="Calibri" w:eastAsia="Calibri" w:hAnsi="Calibri" w:cs="Calibri" w:hint="default"/>
        <w:w w:val="91"/>
        <w:sz w:val="19"/>
        <w:szCs w:val="19"/>
      </w:rPr>
    </w:lvl>
    <w:lvl w:ilvl="3" w:tplc="840C5B16">
      <w:numFmt w:val="bullet"/>
      <w:lvlText w:val="•"/>
      <w:lvlJc w:val="left"/>
      <w:pPr>
        <w:ind w:left="1482" w:hanging="227"/>
      </w:pPr>
      <w:rPr>
        <w:rFonts w:hint="default"/>
      </w:rPr>
    </w:lvl>
    <w:lvl w:ilvl="4" w:tplc="B8FE9306">
      <w:numFmt w:val="bullet"/>
      <w:lvlText w:val="•"/>
      <w:lvlJc w:val="left"/>
      <w:pPr>
        <w:ind w:left="1265" w:hanging="227"/>
      </w:pPr>
      <w:rPr>
        <w:rFonts w:hint="default"/>
      </w:rPr>
    </w:lvl>
    <w:lvl w:ilvl="5" w:tplc="D62E3B8A">
      <w:numFmt w:val="bullet"/>
      <w:lvlText w:val="•"/>
      <w:lvlJc w:val="left"/>
      <w:pPr>
        <w:ind w:left="1047" w:hanging="227"/>
      </w:pPr>
      <w:rPr>
        <w:rFonts w:hint="default"/>
      </w:rPr>
    </w:lvl>
    <w:lvl w:ilvl="6" w:tplc="6E842B70">
      <w:numFmt w:val="bullet"/>
      <w:lvlText w:val="•"/>
      <w:lvlJc w:val="left"/>
      <w:pPr>
        <w:ind w:left="830" w:hanging="227"/>
      </w:pPr>
      <w:rPr>
        <w:rFonts w:hint="default"/>
      </w:rPr>
    </w:lvl>
    <w:lvl w:ilvl="7" w:tplc="AC76C6C2">
      <w:numFmt w:val="bullet"/>
      <w:lvlText w:val="•"/>
      <w:lvlJc w:val="left"/>
      <w:pPr>
        <w:ind w:left="612" w:hanging="227"/>
      </w:pPr>
      <w:rPr>
        <w:rFonts w:hint="default"/>
      </w:rPr>
    </w:lvl>
    <w:lvl w:ilvl="8" w:tplc="B572640A">
      <w:numFmt w:val="bullet"/>
      <w:lvlText w:val="•"/>
      <w:lvlJc w:val="left"/>
      <w:pPr>
        <w:ind w:left="395" w:hanging="22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C1B"/>
    <w:rsid w:val="00242D20"/>
    <w:rsid w:val="003F5B2D"/>
    <w:rsid w:val="004D4C07"/>
    <w:rsid w:val="006B1B3E"/>
    <w:rsid w:val="008046C6"/>
    <w:rsid w:val="009A52EC"/>
    <w:rsid w:val="009E0C1B"/>
    <w:rsid w:val="00DC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72ADD253"/>
  <w15:docId w15:val="{E2831F99-581D-4F2D-88BD-0A600E62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itre1">
    <w:name w:val="heading 1"/>
    <w:basedOn w:val="Normal"/>
    <w:uiPriority w:val="9"/>
    <w:qFormat/>
    <w:pPr>
      <w:ind w:left="850"/>
      <w:outlineLvl w:val="0"/>
    </w:pPr>
    <w:rPr>
      <w:rFonts w:ascii="Arial" w:eastAsia="Arial" w:hAnsi="Arial" w:cs="Arial"/>
    </w:rPr>
  </w:style>
  <w:style w:type="paragraph" w:styleId="Titre2">
    <w:name w:val="heading 2"/>
    <w:basedOn w:val="Normal"/>
    <w:uiPriority w:val="9"/>
    <w:unhideWhenUsed/>
    <w:qFormat/>
    <w:pPr>
      <w:ind w:left="607" w:hanging="208"/>
      <w:outlineLvl w:val="1"/>
    </w:pPr>
    <w:rPr>
      <w:rFonts w:ascii="Arial" w:eastAsia="Arial" w:hAnsi="Arial" w:cs="Arial"/>
      <w:i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9"/>
      <w:szCs w:val="19"/>
    </w:rPr>
  </w:style>
  <w:style w:type="paragraph" w:styleId="Paragraphedeliste">
    <w:name w:val="List Paragraph"/>
    <w:basedOn w:val="Normal"/>
    <w:uiPriority w:val="1"/>
    <w:qFormat/>
    <w:pPr>
      <w:ind w:left="1447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.gl/0k44ZV.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o.gl/0k44ZV.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hyperlink" Target="http://goo.gl/6r4ubn.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goo.gl/6r4ubn." TargetMode="Externa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goo.gl/Dvyq2A.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1250</Words>
  <Characters>7354</Characters>
  <Application>Microsoft Office Word</Application>
  <DocSecurity>0</DocSecurity>
  <Lines>210</Lines>
  <Paragraphs>49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>Caroline Debauche</cp:lastModifiedBy>
  <cp:revision>3</cp:revision>
  <dcterms:created xsi:type="dcterms:W3CDTF">2021-01-20T14:08:00Z</dcterms:created>
  <dcterms:modified xsi:type="dcterms:W3CDTF">2021-01-20T14:09:00Z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2020-12-03T00:00:00Z</vt:filetime>
  </property>
</Properties>
</file>